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0" w:rsidRPr="00F862E3" w:rsidRDefault="00CB5DFE" w:rsidP="00CB5DFE">
      <w:pPr>
        <w:pStyle w:val="NoSpacing"/>
        <w:jc w:val="center"/>
        <w:rPr>
          <w:rFonts w:ascii="Century Gothic" w:hAnsi="Century Gothic"/>
          <w:b/>
          <w:w w:val="111"/>
          <w:sz w:val="28"/>
          <w:szCs w:val="28"/>
          <w:lang w:bidi="he-IL"/>
        </w:rPr>
      </w:pPr>
      <w:r>
        <w:rPr>
          <w:rFonts w:ascii="Century Gothic" w:hAnsi="Century Gothic"/>
          <w:b/>
          <w:w w:val="111"/>
          <w:sz w:val="28"/>
          <w:szCs w:val="28"/>
          <w:lang w:bidi="he-IL"/>
        </w:rPr>
        <w:t xml:space="preserve">       </w:t>
      </w:r>
      <w:r w:rsidR="00E235C0" w:rsidRPr="00F862E3">
        <w:rPr>
          <w:rFonts w:ascii="Century Gothic" w:hAnsi="Century Gothic"/>
          <w:b/>
          <w:w w:val="111"/>
          <w:sz w:val="28"/>
          <w:szCs w:val="28"/>
          <w:lang w:bidi="he-IL"/>
        </w:rPr>
        <w:t>George Edward Loud</w:t>
      </w:r>
    </w:p>
    <w:p w:rsidR="008B5268" w:rsidRDefault="008B5268" w:rsidP="00CB5DFE">
      <w:pPr>
        <w:pStyle w:val="NoSpacing"/>
        <w:ind w:right="-850"/>
        <w:rPr>
          <w:rFonts w:ascii="Century Gothic" w:hAnsi="Century Gothic"/>
          <w:w w:val="111"/>
          <w:sz w:val="28"/>
          <w:szCs w:val="28"/>
          <w:lang w:bidi="he-IL"/>
        </w:rPr>
      </w:pPr>
    </w:p>
    <w:p w:rsidR="008B5268" w:rsidRDefault="008B5268" w:rsidP="008B5268">
      <w:pPr>
        <w:pStyle w:val="NoSpacing"/>
        <w:ind w:right="-850"/>
        <w:jc w:val="center"/>
        <w:rPr>
          <w:rFonts w:ascii="Century Gothic" w:hAnsi="Century Gothic"/>
          <w:w w:val="111"/>
          <w:sz w:val="28"/>
          <w:szCs w:val="28"/>
          <w:lang w:bidi="he-IL"/>
        </w:rPr>
      </w:pPr>
      <w:r>
        <w:rPr>
          <w:noProof/>
          <w:lang w:eastAsia="en-GB"/>
        </w:rPr>
        <w:drawing>
          <wp:inline distT="0" distB="0" distL="0" distR="0" wp14:anchorId="6032F834" wp14:editId="1E68DB87">
            <wp:extent cx="4082842" cy="4972050"/>
            <wp:effectExtent l="0" t="0" r="0" b="0"/>
            <wp:docPr id="1" name="Picture 1" descr="C:\Users\Roger Payne\AppData\Local\Temp\WLMDSS.tmp\WLM90E1.tmp\new photo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Temp\WLMDSS.tmp\WLM90E1.tmp\new photo 1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842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68" w:rsidRDefault="008B5268" w:rsidP="00CB5DFE">
      <w:pPr>
        <w:pStyle w:val="NoSpacing"/>
        <w:ind w:right="-850"/>
        <w:rPr>
          <w:rFonts w:ascii="Century Gothic" w:hAnsi="Century Gothic"/>
          <w:w w:val="111"/>
          <w:sz w:val="28"/>
          <w:szCs w:val="28"/>
          <w:lang w:bidi="he-IL"/>
        </w:rPr>
      </w:pPr>
    </w:p>
    <w:p w:rsidR="00E235C0" w:rsidRPr="00F862E3" w:rsidRDefault="00E235C0" w:rsidP="00CB5DFE">
      <w:pPr>
        <w:pStyle w:val="NoSpacing"/>
        <w:ind w:right="-850"/>
        <w:rPr>
          <w:rFonts w:ascii="Century Gothic" w:hAnsi="Century Gothic"/>
          <w:w w:val="111"/>
          <w:sz w:val="28"/>
          <w:szCs w:val="28"/>
          <w:lang w:bidi="he-IL"/>
        </w:rPr>
      </w:pPr>
      <w:r w:rsidRPr="00F862E3">
        <w:rPr>
          <w:rFonts w:ascii="Century Gothic" w:hAnsi="Century Gothic"/>
          <w:w w:val="111"/>
          <w:sz w:val="28"/>
          <w:szCs w:val="28"/>
          <w:lang w:bidi="he-IL"/>
        </w:rPr>
        <w:t>G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eorge Edward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L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oud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,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born on 5 April 188l,</w:t>
      </w:r>
      <w:r w:rsidR="00444F9E" w:rsidRPr="00F862E3">
        <w:rPr>
          <w:rFonts w:ascii="Century Gothic" w:hAnsi="Century Gothic"/>
          <w:color w:val="000000"/>
          <w:w w:val="111"/>
          <w:sz w:val="28"/>
          <w:szCs w:val="28"/>
          <w:lang w:bidi="he-IL"/>
        </w:rPr>
        <w:t xml:space="preserve"> </w:t>
      </w:r>
      <w:r w:rsidR="00F862E3">
        <w:rPr>
          <w:rFonts w:ascii="Century Gothic" w:hAnsi="Century Gothic"/>
          <w:w w:val="111"/>
          <w:sz w:val="28"/>
          <w:szCs w:val="28"/>
          <w:lang w:bidi="he-IL"/>
        </w:rPr>
        <w:t xml:space="preserve">was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the son of Mark and Rebecca Walker Loud, of Chelsey,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near </w:t>
      </w:r>
      <w:proofErr w:type="spellStart"/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Eccleshall</w:t>
      </w:r>
      <w:proofErr w:type="spellEnd"/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in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Staffordshire. He was educated at Hanley Hi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gher Grade School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, </w:t>
      </w:r>
      <w:proofErr w:type="spellStart"/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Denstone</w:t>
      </w:r>
      <w:proofErr w:type="spellEnd"/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College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, an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d Jesus College, Oxford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, where he held a Mathematical E</w:t>
      </w:r>
      <w:r w:rsidRPr="00F862E3">
        <w:rPr>
          <w:rFonts w:ascii="Century Gothic" w:hAnsi="Century Gothic"/>
          <w:color w:val="1D1816"/>
          <w:w w:val="111"/>
          <w:sz w:val="28"/>
          <w:szCs w:val="28"/>
          <w:lang w:bidi="he-IL"/>
        </w:rPr>
        <w:t>x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hibition. He joined the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staff of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The Royal Masonic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School in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1905,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was ordained deacon in 1906 and priest </w:t>
      </w:r>
      <w:r w:rsidR="00F862E3" w:rsidRPr="00F862E3">
        <w:rPr>
          <w:rFonts w:ascii="Century Gothic" w:hAnsi="Century Gothic"/>
          <w:w w:val="111"/>
          <w:sz w:val="28"/>
          <w:szCs w:val="28"/>
          <w:lang w:bidi="he-IL"/>
        </w:rPr>
        <w:t>the following year.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He became a Housemaster in 1914.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During the eleven years spent in the service of the School he was held in more than ordinary affection by his colleagues and the boys, fo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r in chapel, classroom, house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and on the playing-fields he exhibited all those qualities which Englishmen most admire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</w:t>
      </w:r>
      <w:r w:rsidRPr="00F862E3">
        <w:rPr>
          <w:rFonts w:ascii="Century Gothic" w:hAnsi="Century Gothic"/>
          <w:color w:val="000000"/>
          <w:w w:val="111"/>
          <w:sz w:val="28"/>
          <w:szCs w:val="28"/>
          <w:lang w:bidi="he-IL"/>
        </w:rPr>
        <w:t>-</w:t>
      </w:r>
      <w:r w:rsidR="00444F9E" w:rsidRPr="00F862E3">
        <w:rPr>
          <w:rFonts w:ascii="Century Gothic" w:hAnsi="Century Gothic"/>
          <w:color w:val="000000"/>
          <w:w w:val="111"/>
          <w:sz w:val="28"/>
          <w:szCs w:val="28"/>
          <w:lang w:bidi="he-IL"/>
        </w:rPr>
        <w:t xml:space="preserve">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frankness, fearlessness, impartiality, generosity and geniality. The call of his country proved irresistible to him, and in December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, 1916, he decided to join the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London Regiment as a P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rivate, refusing to accept a chaplaincy in the forces, because he was determined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lastRenderedPageBreak/>
        <w:t>not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to avoid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hardship or danger undergone by his fellows. </w:t>
      </w:r>
    </w:p>
    <w:p w:rsidR="00E235C0" w:rsidRPr="00F862E3" w:rsidRDefault="00E235C0" w:rsidP="00CB5DFE">
      <w:pPr>
        <w:pStyle w:val="NoSpacing"/>
        <w:ind w:right="-850"/>
        <w:rPr>
          <w:rFonts w:ascii="Century Gothic" w:hAnsi="Century Gothic"/>
          <w:w w:val="111"/>
          <w:sz w:val="28"/>
          <w:szCs w:val="28"/>
          <w:lang w:bidi="he-IL"/>
        </w:rPr>
      </w:pPr>
    </w:p>
    <w:p w:rsidR="00E235C0" w:rsidRPr="00F862E3" w:rsidRDefault="00E235C0" w:rsidP="00CB5DFE">
      <w:pPr>
        <w:pStyle w:val="NoSpacing"/>
        <w:ind w:right="-850"/>
        <w:rPr>
          <w:rFonts w:ascii="Century Gothic" w:hAnsi="Century Gothic"/>
          <w:w w:val="111"/>
          <w:sz w:val="28"/>
          <w:szCs w:val="28"/>
          <w:lang w:bidi="he-IL"/>
        </w:rPr>
      </w:pP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He trained at Canterbury and elsewhere and went to France with </w:t>
      </w:r>
      <w:r w:rsidR="00444F9E" w:rsidRPr="00F862E3">
        <w:rPr>
          <w:rFonts w:ascii="Century Gothic" w:hAnsi="Century Gothic"/>
          <w:w w:val="111"/>
          <w:sz w:val="28"/>
          <w:szCs w:val="28"/>
          <w:lang w:bidi="he-IL"/>
        </w:rPr>
        <w:t>a battalion draft in July, 1917.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Shortly afterwards he was transferred to the King's Royal Rifles. In the trenches he became the confidant and counsellor of his platoon</w:t>
      </w:r>
      <w:r w:rsidRPr="00F862E3">
        <w:rPr>
          <w:rFonts w:ascii="Century Gothic" w:hAnsi="Century Gothic"/>
          <w:color w:val="1D1816"/>
          <w:w w:val="111"/>
          <w:sz w:val="28"/>
          <w:szCs w:val="28"/>
          <w:lang w:bidi="he-IL"/>
        </w:rPr>
        <w:t xml:space="preserve">,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and every night he conducted impressive</w:t>
      </w:r>
      <w:r w:rsidR="00CB5DFE">
        <w:rPr>
          <w:rFonts w:ascii="Century Gothic" w:hAnsi="Century Gothic"/>
          <w:w w:val="111"/>
          <w:sz w:val="28"/>
          <w:szCs w:val="28"/>
          <w:lang w:bidi="he-IL"/>
        </w:rPr>
        <w:t>,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though informal</w:t>
      </w:r>
      <w:r w:rsidR="00CB5DFE">
        <w:rPr>
          <w:rFonts w:ascii="Century Gothic" w:hAnsi="Century Gothic"/>
          <w:w w:val="111"/>
          <w:sz w:val="28"/>
          <w:szCs w:val="28"/>
          <w:lang w:bidi="he-IL"/>
        </w:rPr>
        <w:t>,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 services in some dug-out. Early in March, 1918, he was taken prisoner and sent to the Prisoners' Camp at Munster in Westphalia. He died of pneumonia following a chill on </w:t>
      </w:r>
      <w:r w:rsidRPr="00F862E3">
        <w:rPr>
          <w:rFonts w:ascii="Century Gothic" w:hAnsi="Century Gothic"/>
          <w:w w:val="105"/>
          <w:sz w:val="28"/>
          <w:szCs w:val="28"/>
          <w:lang w:bidi="he-IL"/>
        </w:rPr>
        <w:t xml:space="preserve">27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June, 1918</w:t>
      </w:r>
      <w:r w:rsidRPr="00F862E3">
        <w:rPr>
          <w:rFonts w:ascii="Century Gothic" w:hAnsi="Century Gothic"/>
          <w:color w:val="1D1816"/>
          <w:w w:val="111"/>
          <w:sz w:val="28"/>
          <w:szCs w:val="28"/>
          <w:lang w:bidi="he-IL"/>
        </w:rPr>
        <w:t xml:space="preserve">,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>at Bottrop Camp Reserve Hospital, and is buried in the municipal cemetery at Bottrop</w:t>
      </w:r>
      <w:r w:rsidRPr="00F862E3">
        <w:rPr>
          <w:rFonts w:ascii="Century Gothic" w:hAnsi="Century Gothic"/>
          <w:color w:val="1D1816"/>
          <w:w w:val="111"/>
          <w:sz w:val="28"/>
          <w:szCs w:val="28"/>
          <w:lang w:bidi="he-IL"/>
        </w:rPr>
        <w:t xml:space="preserve">, </w:t>
      </w:r>
      <w:r w:rsidRPr="00F862E3">
        <w:rPr>
          <w:rFonts w:ascii="Century Gothic" w:hAnsi="Century Gothic"/>
          <w:w w:val="111"/>
          <w:sz w:val="28"/>
          <w:szCs w:val="28"/>
          <w:lang w:bidi="he-IL"/>
        </w:rPr>
        <w:t xml:space="preserve">where his fellow-prisoners have erected a stone in memory of him. </w:t>
      </w:r>
    </w:p>
    <w:p w:rsidR="00CB5DFE" w:rsidRDefault="00CB5DFE" w:rsidP="00CB5DFE">
      <w:pPr>
        <w:pStyle w:val="NoSpacing"/>
        <w:ind w:right="-850"/>
        <w:rPr>
          <w:rFonts w:ascii="Century Gothic" w:hAnsi="Century Gothic"/>
          <w:sz w:val="24"/>
          <w:szCs w:val="24"/>
          <w:lang w:bidi="he-IL"/>
        </w:rPr>
      </w:pPr>
    </w:p>
    <w:p w:rsidR="00E235C0" w:rsidRPr="00CB5DFE" w:rsidRDefault="00CB5DFE" w:rsidP="00CB5DFE">
      <w:pPr>
        <w:pStyle w:val="NoSpacing"/>
        <w:ind w:left="4320" w:right="-850"/>
        <w:rPr>
          <w:rFonts w:ascii="Century Gothic" w:hAnsi="Century Gothic"/>
          <w:sz w:val="24"/>
          <w:szCs w:val="24"/>
          <w:lang w:bidi="he-IL"/>
        </w:rPr>
      </w:pPr>
      <w:r w:rsidRPr="00CB5DFE">
        <w:rPr>
          <w:rFonts w:ascii="Century Gothic" w:hAnsi="Century Gothic"/>
          <w:sz w:val="24"/>
          <w:szCs w:val="24"/>
          <w:lang w:bidi="he-IL"/>
        </w:rPr>
        <w:t xml:space="preserve">Source: Memorials of </w:t>
      </w:r>
      <w:proofErr w:type="spellStart"/>
      <w:r w:rsidRPr="00CB5DFE">
        <w:rPr>
          <w:rFonts w:ascii="Century Gothic" w:hAnsi="Century Gothic"/>
          <w:sz w:val="24"/>
          <w:szCs w:val="24"/>
          <w:lang w:bidi="he-IL"/>
        </w:rPr>
        <w:t>Masonians</w:t>
      </w:r>
      <w:proofErr w:type="spellEnd"/>
      <w:r w:rsidRPr="00CB5DFE">
        <w:rPr>
          <w:rFonts w:ascii="Century Gothic" w:hAnsi="Century Gothic"/>
          <w:sz w:val="24"/>
          <w:szCs w:val="24"/>
          <w:lang w:bidi="he-IL"/>
        </w:rPr>
        <w:t xml:space="preserve"> who fell in the Great War (1922)</w:t>
      </w:r>
    </w:p>
    <w:p w:rsidR="00CB5DFE" w:rsidRDefault="00CB5DFE" w:rsidP="00CB5DFE">
      <w:pPr>
        <w:pStyle w:val="NoSpacing"/>
        <w:ind w:right="-850"/>
        <w:rPr>
          <w:rFonts w:ascii="Century Gothic" w:hAnsi="Century Gothic"/>
          <w:sz w:val="28"/>
          <w:szCs w:val="28"/>
        </w:rPr>
      </w:pPr>
    </w:p>
    <w:p w:rsidR="00B86445" w:rsidRDefault="00B86445" w:rsidP="00CB5DFE">
      <w:pPr>
        <w:pStyle w:val="NoSpacing"/>
        <w:ind w:right="-8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served as Private 648314 in the London Regiment, 20</w:t>
      </w:r>
      <w:r w:rsidRPr="00B86445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Battalion. He now lies buried in Cologne Southern Cemetery grave reference XV. A. 35</w:t>
      </w:r>
    </w:p>
    <w:p w:rsidR="00B86445" w:rsidRDefault="00B86445" w:rsidP="00CB5DFE">
      <w:pPr>
        <w:pStyle w:val="NoSpacing"/>
        <w:ind w:right="-850"/>
        <w:rPr>
          <w:rFonts w:ascii="Century Gothic" w:hAnsi="Century Gothic"/>
          <w:sz w:val="28"/>
          <w:szCs w:val="28"/>
        </w:rPr>
      </w:pPr>
    </w:p>
    <w:p w:rsidR="00327B46" w:rsidRDefault="00E235C0" w:rsidP="00CB5DFE">
      <w:pPr>
        <w:pStyle w:val="NoSpacing"/>
        <w:ind w:right="-850"/>
        <w:rPr>
          <w:rFonts w:ascii="Century Gothic" w:hAnsi="Century Gothic"/>
          <w:sz w:val="28"/>
          <w:szCs w:val="28"/>
        </w:rPr>
      </w:pPr>
      <w:r w:rsidRPr="00F862E3">
        <w:rPr>
          <w:rFonts w:ascii="Century Gothic" w:hAnsi="Century Gothic"/>
          <w:sz w:val="28"/>
          <w:szCs w:val="28"/>
        </w:rPr>
        <w:t>He</w:t>
      </w:r>
      <w:r w:rsidR="003056B1">
        <w:rPr>
          <w:rFonts w:ascii="Century Gothic" w:hAnsi="Century Gothic"/>
          <w:sz w:val="28"/>
          <w:szCs w:val="28"/>
        </w:rPr>
        <w:t xml:space="preserve"> is commemorated on the Bushey M</w:t>
      </w:r>
      <w:r w:rsidRPr="00F862E3">
        <w:rPr>
          <w:rFonts w:ascii="Century Gothic" w:hAnsi="Century Gothic"/>
          <w:sz w:val="28"/>
          <w:szCs w:val="28"/>
        </w:rPr>
        <w:t>emorial.</w:t>
      </w:r>
    </w:p>
    <w:p w:rsidR="0024274D" w:rsidRDefault="0024274D" w:rsidP="0024274D">
      <w:pPr>
        <w:pStyle w:val="NoSpacing"/>
        <w:ind w:right="-850"/>
        <w:jc w:val="center"/>
        <w:rPr>
          <w:rFonts w:ascii="Century Gothic" w:hAnsi="Century Gothic"/>
          <w:sz w:val="28"/>
          <w:szCs w:val="28"/>
        </w:rPr>
      </w:pPr>
    </w:p>
    <w:p w:rsidR="0024274D" w:rsidRPr="00F862E3" w:rsidRDefault="0024274D" w:rsidP="0024274D">
      <w:pPr>
        <w:pStyle w:val="NoSpacing"/>
        <w:ind w:right="-850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>
            <wp:extent cx="4667815" cy="3495675"/>
            <wp:effectExtent l="0" t="0" r="0" b="0"/>
            <wp:docPr id="2" name="Picture 2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1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74D" w:rsidRPr="00F862E3" w:rsidSect="00E235C0">
      <w:pgSz w:w="11907" w:h="16840"/>
      <w:pgMar w:top="1021" w:right="2999" w:bottom="357" w:left="1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0"/>
    <w:rsid w:val="000849BC"/>
    <w:rsid w:val="0024274D"/>
    <w:rsid w:val="003056B1"/>
    <w:rsid w:val="00327B46"/>
    <w:rsid w:val="00444F9E"/>
    <w:rsid w:val="008B5268"/>
    <w:rsid w:val="00AE093B"/>
    <w:rsid w:val="00B86445"/>
    <w:rsid w:val="00CB5DFE"/>
    <w:rsid w:val="00D44B49"/>
    <w:rsid w:val="00E235C0"/>
    <w:rsid w:val="00F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C0"/>
    <w:pPr>
      <w:spacing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eastAsiaTheme="minorHAnsi" w:hAnsi="Tw Cen MT"/>
      <w:iCs/>
      <w:color w:val="FFFFFF"/>
      <w:sz w:val="28"/>
      <w:szCs w:val="3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eastAsiaTheme="minorHAnsi"/>
      <w:b/>
      <w:bCs/>
      <w:iCs/>
      <w:color w:val="9A8D09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  <w:lang w:eastAsia="en-US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eastAsiaTheme="minorHAnsi"/>
      <w:iCs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eastAsiaTheme="minorHAnsi"/>
      <w:iCs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eastAsiaTheme="minorHAnsi"/>
      <w:b/>
      <w:i/>
      <w:iCs/>
      <w:color w:val="CEBD0D"/>
      <w:sz w:val="24"/>
      <w:szCs w:val="21"/>
      <w:lang w:eastAsia="en-US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customStyle="1" w:styleId="Style">
    <w:name w:val="Style"/>
    <w:rsid w:val="00E23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68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C0"/>
    <w:pPr>
      <w:spacing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eastAsiaTheme="minorHAnsi" w:hAnsi="Tw Cen MT"/>
      <w:iCs/>
      <w:color w:val="FFFFFF"/>
      <w:sz w:val="28"/>
      <w:szCs w:val="3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eastAsiaTheme="minorHAnsi"/>
      <w:b/>
      <w:bCs/>
      <w:iCs/>
      <w:color w:val="9A8D09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  <w:lang w:eastAsia="en-US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eastAsiaTheme="minorHAnsi"/>
      <w:iCs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eastAsiaTheme="minorHAnsi"/>
      <w:iCs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eastAsiaTheme="minorHAnsi"/>
      <w:b/>
      <w:i/>
      <w:iCs/>
      <w:color w:val="CEBD0D"/>
      <w:sz w:val="24"/>
      <w:szCs w:val="21"/>
      <w:lang w:eastAsia="en-US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customStyle="1" w:styleId="Style">
    <w:name w:val="Style"/>
    <w:rsid w:val="00E23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68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2015-03-30T08:12:00Z</dcterms:created>
  <dcterms:modified xsi:type="dcterms:W3CDTF">2015-04-20T11:04:00Z</dcterms:modified>
</cp:coreProperties>
</file>